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ind w:left="456" w:right="614"/>
        <w:jc w:val="center"/>
        <w:rPr>
          <w:rFonts w:hint="eastAsia" w:asciiTheme="majorEastAsia" w:hAnsiTheme="majorEastAsia" w:eastAsiaTheme="majorEastAsia" w:cstheme="majorEastAsia"/>
          <w:b w:val="0"/>
          <w:bCs w:val="0"/>
          <w:color w:val="auto"/>
          <w:sz w:val="44"/>
          <w:szCs w:val="44"/>
          <w:shd w:val="clear" w:color="auto" w:fill="auto"/>
          <w:lang w:eastAsia="zh-CN"/>
        </w:rPr>
      </w:pPr>
      <w:r>
        <w:rPr>
          <w:rFonts w:hint="eastAsia" w:asciiTheme="majorEastAsia" w:hAnsiTheme="majorEastAsia" w:eastAsiaTheme="majorEastAsia" w:cstheme="majorEastAsia"/>
          <w:b w:val="0"/>
          <w:bCs w:val="0"/>
          <w:color w:val="auto"/>
          <w:sz w:val="44"/>
          <w:szCs w:val="44"/>
          <w:shd w:val="clear" w:color="auto" w:fill="auto"/>
          <w:lang w:eastAsia="zh-CN"/>
        </w:rPr>
        <w:t>辽宁师范大学</w:t>
      </w:r>
    </w:p>
    <w:p>
      <w:pPr>
        <w:spacing w:line="574" w:lineRule="exact"/>
        <w:ind w:left="456" w:right="614"/>
        <w:jc w:val="center"/>
        <w:rPr>
          <w:rFonts w:hint="eastAsia" w:asciiTheme="majorEastAsia" w:hAnsiTheme="majorEastAsia" w:eastAsiaTheme="majorEastAsia" w:cstheme="majorEastAsia"/>
          <w:b w:val="0"/>
          <w:bCs w:val="0"/>
          <w:color w:val="auto"/>
          <w:sz w:val="44"/>
          <w:szCs w:val="44"/>
          <w:shd w:val="clear" w:color="auto" w:fill="auto"/>
          <w:lang w:eastAsia="zh-CN"/>
        </w:rPr>
      </w:pPr>
      <w:r>
        <w:rPr>
          <w:rFonts w:hint="eastAsia" w:asciiTheme="majorEastAsia" w:hAnsiTheme="majorEastAsia" w:eastAsiaTheme="majorEastAsia" w:cstheme="majorEastAsia"/>
          <w:b w:val="0"/>
          <w:bCs w:val="0"/>
          <w:color w:val="auto"/>
          <w:sz w:val="44"/>
          <w:szCs w:val="44"/>
          <w:shd w:val="clear" w:color="auto" w:fill="auto"/>
          <w:lang w:eastAsia="zh-CN"/>
        </w:rPr>
        <w:t>本科生</w:t>
      </w:r>
      <w:r>
        <w:rPr>
          <w:rFonts w:hint="eastAsia" w:asciiTheme="majorEastAsia" w:hAnsiTheme="majorEastAsia" w:eastAsiaTheme="majorEastAsia" w:cstheme="majorEastAsia"/>
          <w:b w:val="0"/>
          <w:bCs w:val="0"/>
          <w:color w:val="auto"/>
          <w:sz w:val="44"/>
          <w:szCs w:val="44"/>
          <w:shd w:val="clear" w:color="auto" w:fill="auto"/>
          <w:lang w:val="en-US" w:eastAsia="zh-CN"/>
        </w:rPr>
        <w:t>学业预警管理</w:t>
      </w:r>
      <w:r>
        <w:rPr>
          <w:rFonts w:hint="eastAsia" w:asciiTheme="majorEastAsia" w:hAnsiTheme="majorEastAsia" w:eastAsiaTheme="majorEastAsia" w:cstheme="majorEastAsia"/>
          <w:b w:val="0"/>
          <w:bCs w:val="0"/>
          <w:color w:val="auto"/>
          <w:sz w:val="44"/>
          <w:szCs w:val="44"/>
          <w:shd w:val="clear" w:color="auto" w:fill="auto"/>
          <w:lang w:eastAsia="zh-CN"/>
        </w:rPr>
        <w:t>办法</w:t>
      </w:r>
    </w:p>
    <w:p>
      <w:pPr>
        <w:pStyle w:val="2"/>
        <w:tabs>
          <w:tab w:val="left" w:pos="2045"/>
        </w:tabs>
        <w:spacing w:line="218" w:lineRule="auto"/>
        <w:ind w:left="118" w:right="536" w:firstLine="643"/>
        <w:rPr>
          <w:rFonts w:ascii="仿宋" w:hAnsi="仿宋" w:eastAsia="仿宋"/>
          <w:color w:val="auto"/>
          <w:spacing w:val="-15"/>
          <w:sz w:val="30"/>
          <w:szCs w:val="30"/>
          <w:lang w:eastAsia="zh-CN"/>
        </w:rPr>
      </w:pPr>
    </w:p>
    <w:p>
      <w:pPr>
        <w:pStyle w:val="2"/>
        <w:keepNext w:val="0"/>
        <w:keepLines w:val="0"/>
        <w:pageBreakBefore w:val="0"/>
        <w:widowControl w:val="0"/>
        <w:tabs>
          <w:tab w:val="left" w:pos="1908"/>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进一步加强学生学习过程管理和学风建设，提高对学生学业的指导性、预见性，充分发挥学校、学生、家庭三结合教育的功能，引导学生顺利完成学业，根据《普通高等学校学生管理规定》和《辽宁师范大学学生管理规定》《辽宁师范大学本科生学籍管理办法》，制定本办法。</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第一条 </w:t>
      </w:r>
      <w:r>
        <w:rPr>
          <w:rFonts w:hint="eastAsia" w:ascii="仿宋_GB2312" w:hAnsi="仿宋_GB2312" w:eastAsia="仿宋_GB2312" w:cs="仿宋_GB2312"/>
          <w:color w:val="auto"/>
          <w:sz w:val="32"/>
          <w:szCs w:val="32"/>
          <w:lang w:eastAsia="zh-CN"/>
        </w:rPr>
        <w:t>学业预警是学校根据学生修业的有关规定和人才培养方案的相关要求，跟踪、分析学生各阶段学习情况，对可能或已经发生学习问题或完成学业有困难的学生进行警示，告知学生本人及家长可能产生的不良后果，并</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lang w:eastAsia="zh-CN"/>
        </w:rPr>
        <w:t>针对性地采取补救和帮扶措施、帮助学生顺利完成学业的一种危机干预制度。</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36" w:firstLineChars="198"/>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第二条 </w:t>
      </w:r>
      <w:r>
        <w:rPr>
          <w:rFonts w:hint="eastAsia" w:ascii="仿宋_GB2312" w:hAnsi="仿宋_GB2312" w:eastAsia="仿宋_GB2312" w:cs="仿宋_GB2312"/>
          <w:color w:val="auto"/>
          <w:sz w:val="32"/>
          <w:szCs w:val="32"/>
          <w:lang w:eastAsia="zh-CN"/>
        </w:rPr>
        <w:t>学业预警是通过学校、学生、家长之间的沟通与协作，对在校本科生的学习情况进行适时监控、引导和督促。</w:t>
      </w:r>
    </w:p>
    <w:p>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598"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w w:val="95"/>
          <w:sz w:val="32"/>
          <w:szCs w:val="32"/>
          <w:lang w:eastAsia="zh-CN"/>
        </w:rPr>
        <w:t xml:space="preserve">第三条 </w:t>
      </w:r>
      <w:r>
        <w:rPr>
          <w:rFonts w:hint="eastAsia" w:ascii="仿宋_GB2312" w:hAnsi="仿宋_GB2312" w:eastAsia="仿宋_GB2312" w:cs="仿宋_GB2312"/>
          <w:color w:val="auto"/>
          <w:w w:val="95"/>
          <w:sz w:val="32"/>
          <w:szCs w:val="32"/>
          <w:lang w:eastAsia="zh-CN"/>
        </w:rPr>
        <w:t>学业预警分为三级，预警程度由低到高依次为：</w:t>
      </w:r>
      <w:r>
        <w:rPr>
          <w:rFonts w:hint="eastAsia" w:ascii="仿宋_GB2312" w:hAnsi="仿宋_GB2312" w:eastAsia="仿宋_GB2312" w:cs="仿宋_GB2312"/>
          <w:color w:val="auto"/>
          <w:sz w:val="32"/>
          <w:szCs w:val="32"/>
          <w:lang w:val="en-US" w:eastAsia="zh-CN"/>
        </w:rPr>
        <w:t>黄色</w:t>
      </w:r>
      <w:r>
        <w:rPr>
          <w:rFonts w:hint="eastAsia" w:ascii="仿宋_GB2312" w:hAnsi="仿宋_GB2312" w:eastAsia="仿宋_GB2312" w:cs="仿宋_GB2312"/>
          <w:color w:val="auto"/>
          <w:w w:val="95"/>
          <w:sz w:val="32"/>
          <w:szCs w:val="32"/>
          <w:lang w:eastAsia="zh-CN"/>
        </w:rPr>
        <w:t>预警、</w:t>
      </w:r>
      <w:r>
        <w:rPr>
          <w:rFonts w:hint="eastAsia" w:ascii="仿宋_GB2312" w:hAnsi="仿宋_GB2312" w:eastAsia="仿宋_GB2312" w:cs="仿宋_GB2312"/>
          <w:color w:val="auto"/>
          <w:w w:val="95"/>
          <w:sz w:val="32"/>
          <w:szCs w:val="32"/>
          <w:lang w:val="en-US" w:eastAsia="zh-CN"/>
        </w:rPr>
        <w:t>橙色</w:t>
      </w:r>
      <w:r>
        <w:rPr>
          <w:rFonts w:hint="eastAsia" w:ascii="仿宋_GB2312" w:hAnsi="仿宋_GB2312" w:eastAsia="仿宋_GB2312" w:cs="仿宋_GB2312"/>
          <w:color w:val="auto"/>
          <w:sz w:val="32"/>
          <w:szCs w:val="32"/>
          <w:lang w:eastAsia="zh-CN"/>
        </w:rPr>
        <w:t>预警、</w:t>
      </w:r>
      <w:r>
        <w:rPr>
          <w:rFonts w:hint="eastAsia" w:ascii="仿宋_GB2312" w:hAnsi="仿宋_GB2312" w:eastAsia="仿宋_GB2312" w:cs="仿宋_GB2312"/>
          <w:color w:val="auto"/>
          <w:sz w:val="32"/>
          <w:szCs w:val="32"/>
          <w:lang w:val="en-US" w:eastAsia="zh-CN"/>
        </w:rPr>
        <w:t>红色</w:t>
      </w:r>
      <w:r>
        <w:rPr>
          <w:rFonts w:hint="eastAsia" w:ascii="仿宋_GB2312" w:hAnsi="仿宋_GB2312" w:eastAsia="仿宋_GB2312" w:cs="仿宋_GB2312"/>
          <w:color w:val="auto"/>
          <w:sz w:val="32"/>
          <w:szCs w:val="32"/>
          <w:lang w:eastAsia="zh-CN"/>
        </w:rPr>
        <w:t>预警。</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（一）有以下情形之一的，给予黄色预警。</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1.前一学期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期末考核（含补考）结束后，考核不合格的必修和限选课程总数</w:t>
      </w:r>
      <w:r>
        <w:rPr>
          <w:rFonts w:hint="eastAsia" w:ascii="仿宋_GB2312" w:hAnsi="仿宋_GB2312" w:eastAsia="仿宋_GB2312" w:cs="仿宋_GB2312"/>
          <w:color w:val="FF0000"/>
          <w:sz w:val="32"/>
          <w:szCs w:val="32"/>
          <w:lang w:eastAsia="zh-CN"/>
        </w:rPr>
        <w:t>达到</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lang w:eastAsia="zh-CN"/>
        </w:rPr>
        <w:t>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2.自入学起，经过补考、重修后考核不合格的必修和限选课程</w:t>
      </w:r>
      <w:r>
        <w:rPr>
          <w:rFonts w:hint="eastAsia" w:ascii="仿宋_GB2312" w:hAnsi="仿宋_GB2312" w:eastAsia="仿宋_GB2312" w:cs="仿宋_GB2312"/>
          <w:color w:val="FF0000"/>
          <w:sz w:val="32"/>
          <w:szCs w:val="32"/>
          <w:lang w:eastAsia="zh-CN"/>
        </w:rPr>
        <w:t>累计不足5门</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（二）有以下情形之一的，给予橙色预警。</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1.前一学期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期末考核（含补考）结束后，考核不合格的必修和限选课程总数达到3门；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2.自入学起，经过补考、重修后考核不合格的必修课和限选课程累计达到5门，不足7门。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（三）有以下情形之一的，给予红色预警。</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1.前一学期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期末考核（含补考）结束后，考核不合格的必修和限选课程总数达到4门；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2.自入学起，经过补考、重修后考核不合格的必修课和限选课程累计达到或超过7门。</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第四条 </w:t>
      </w:r>
      <w:r>
        <w:rPr>
          <w:rFonts w:hint="eastAsia" w:ascii="仿宋_GB2312" w:hAnsi="仿宋_GB2312" w:eastAsia="仿宋_GB2312" w:cs="仿宋_GB2312"/>
          <w:color w:val="auto"/>
          <w:sz w:val="32"/>
          <w:szCs w:val="32"/>
          <w:lang w:eastAsia="zh-CN"/>
        </w:rPr>
        <w:t>各学院应建立以院长、书记为负责人，分管教学的副院长和学生工作的副书记、辅导员、教学秘书为成员的学业预警工作小组负责实施学业预警，并进行学业援助。教务处、学生处协助和督促。</w:t>
      </w:r>
    </w:p>
    <w:p>
      <w:pPr>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eastAsia="zh-CN"/>
        </w:rPr>
        <w:t xml:space="preserve">第五条 </w:t>
      </w:r>
      <w:r>
        <w:rPr>
          <w:rFonts w:hint="eastAsia" w:ascii="仿宋_GB2312" w:hAnsi="仿宋_GB2312" w:eastAsia="仿宋_GB2312" w:cs="仿宋_GB2312"/>
          <w:color w:val="auto"/>
          <w:sz w:val="32"/>
          <w:szCs w:val="32"/>
          <w:lang w:eastAsia="zh-CN"/>
        </w:rPr>
        <w:t>学业预警</w:t>
      </w:r>
      <w:r>
        <w:rPr>
          <w:rFonts w:hint="eastAsia" w:ascii="仿宋_GB2312" w:hAnsi="仿宋_GB2312" w:eastAsia="仿宋_GB2312" w:cs="仿宋_GB2312"/>
          <w:color w:val="auto"/>
          <w:sz w:val="32"/>
          <w:szCs w:val="32"/>
          <w:lang w:val="en-US" w:eastAsia="zh-CN"/>
        </w:rPr>
        <w:t>实施程序</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（一）学业预警工作按学期进行，每学期开学后2周内，各学院依据专业培养方案对学生学业情况进行审核，确定各级学业预警学生名单，提出学业预警建议，下达《</w:t>
      </w:r>
      <w:r>
        <w:rPr>
          <w:rFonts w:hint="eastAsia" w:ascii="仿宋_GB2312" w:hAnsi="仿宋_GB2312" w:eastAsia="仿宋_GB2312" w:cs="仿宋_GB2312"/>
          <w:color w:val="auto"/>
          <w:sz w:val="32"/>
          <w:szCs w:val="32"/>
          <w:lang w:val="en-US" w:eastAsia="zh-CN"/>
        </w:rPr>
        <w:t>辽宁师范大学本科生</w:t>
      </w:r>
      <w:r>
        <w:rPr>
          <w:rFonts w:hint="eastAsia" w:ascii="仿宋_GB2312" w:hAnsi="仿宋_GB2312" w:eastAsia="仿宋_GB2312" w:cs="仿宋_GB2312"/>
          <w:color w:val="auto"/>
          <w:sz w:val="32"/>
          <w:szCs w:val="32"/>
          <w:lang w:eastAsia="zh-CN"/>
        </w:rPr>
        <w:t>学业预警通知</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（二）学院委派相关负责人对被预警学生进行警示谈话，</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以信件等形式通知家长。对</w:t>
      </w:r>
      <w:r>
        <w:rPr>
          <w:rFonts w:hint="eastAsia" w:ascii="仿宋_GB2312" w:hAnsi="仿宋_GB2312" w:eastAsia="仿宋_GB2312" w:cs="仿宋_GB2312"/>
          <w:color w:val="auto"/>
          <w:sz w:val="32"/>
          <w:szCs w:val="32"/>
          <w:lang w:val="en-US" w:eastAsia="zh-CN"/>
        </w:rPr>
        <w:t>受到</w:t>
      </w:r>
      <w:r>
        <w:rPr>
          <w:rFonts w:hint="eastAsia" w:ascii="仿宋_GB2312" w:hAnsi="仿宋_GB2312" w:eastAsia="仿宋_GB2312" w:cs="仿宋_GB2312"/>
          <w:color w:val="auto"/>
          <w:sz w:val="32"/>
          <w:szCs w:val="32"/>
          <w:lang w:eastAsia="zh-CN"/>
        </w:rPr>
        <w:t>学业预警</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在学制年限内完成学业有困难的学生，学院可邀请家长面谈。</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（三）学院应对受到预警的学生应实施有效援助，制订有针对性的援助方案，加强帮扶教育，督促学生完成学习任务。</w:t>
      </w:r>
    </w:p>
    <w:p>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）学院应对警示教育过程进行完整记载并建立管理档案。</w:t>
      </w:r>
    </w:p>
    <w:p>
      <w:pPr>
        <w:pStyle w:val="2"/>
        <w:tabs>
          <w:tab w:val="left" w:pos="2065"/>
        </w:tabs>
        <w:snapToGrid w:val="0"/>
        <w:spacing w:line="460" w:lineRule="exact"/>
        <w:ind w:firstLine="627" w:firstLineChars="196"/>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）每学期开学</w:t>
      </w:r>
      <w:r>
        <w:rPr>
          <w:rFonts w:hint="eastAsia" w:ascii="仿宋_GB2312" w:hAnsi="仿宋_GB2312" w:eastAsia="仿宋_GB2312" w:cs="仿宋_GB2312"/>
          <w:color w:val="auto"/>
          <w:sz w:val="32"/>
          <w:szCs w:val="32"/>
          <w:lang w:val="en-US" w:eastAsia="zh-CN"/>
        </w:rPr>
        <w:t>后4</w:t>
      </w:r>
      <w:r>
        <w:rPr>
          <w:rFonts w:hint="eastAsia" w:ascii="仿宋_GB2312" w:hAnsi="仿宋_GB2312" w:eastAsia="仿宋_GB2312" w:cs="仿宋_GB2312"/>
          <w:color w:val="auto"/>
          <w:sz w:val="32"/>
          <w:szCs w:val="32"/>
          <w:lang w:eastAsia="zh-CN"/>
        </w:rPr>
        <w:t>周内，学院</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将本学院</w:t>
      </w:r>
      <w:r>
        <w:rPr>
          <w:rFonts w:hint="eastAsia" w:ascii="仿宋_GB2312" w:hAnsi="仿宋_GB2312" w:eastAsia="仿宋_GB2312" w:cs="仿宋_GB2312"/>
          <w:color w:val="auto"/>
          <w:sz w:val="32"/>
          <w:szCs w:val="32"/>
          <w:lang w:val="en-US" w:eastAsia="zh-CN"/>
        </w:rPr>
        <w:t>本科生</w:t>
      </w:r>
      <w:r>
        <w:rPr>
          <w:rFonts w:hint="eastAsia" w:ascii="仿宋_GB2312" w:hAnsi="仿宋_GB2312" w:eastAsia="仿宋_GB2312" w:cs="仿宋_GB2312"/>
          <w:color w:val="auto"/>
          <w:sz w:val="32"/>
          <w:szCs w:val="32"/>
          <w:lang w:eastAsia="zh-CN"/>
        </w:rPr>
        <w:t>学业预警汇总表</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lang w:eastAsia="zh-CN"/>
        </w:rPr>
        <w:t>教务处备案。</w:t>
      </w:r>
    </w:p>
    <w:p>
      <w:pPr>
        <w:pStyle w:val="2"/>
        <w:tabs>
          <w:tab w:val="left" w:pos="2065"/>
        </w:tabs>
        <w:snapToGrid w:val="0"/>
        <w:spacing w:line="460" w:lineRule="exact"/>
        <w:ind w:firstLine="627" w:firstLineChars="196"/>
        <w:jc w:val="both"/>
        <w:rPr>
          <w:rFonts w:hint="eastAsia" w:ascii="仿宋_GB2312" w:hAnsi="仿宋_GB2312" w:eastAsia="仿宋_GB2312" w:cs="仿宋_GB2312"/>
          <w:color w:val="auto"/>
          <w:sz w:val="32"/>
          <w:szCs w:val="32"/>
          <w:lang w:eastAsia="zh-CN"/>
        </w:rPr>
      </w:pPr>
    </w:p>
    <w:p>
      <w:pPr>
        <w:pStyle w:val="2"/>
        <w:keepNext w:val="0"/>
        <w:keepLines w:val="0"/>
        <w:pageBreakBefore w:val="0"/>
        <w:widowControl w:val="0"/>
        <w:numPr>
          <w:ilvl w:val="0"/>
          <w:numId w:val="1"/>
        </w:numPr>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学业预警实行动态管理，学生在警示期内按所修专业、所在年级的正常教学进度较好完成</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lang w:eastAsia="zh-CN"/>
        </w:rPr>
        <w:t>课程学习，</w:t>
      </w:r>
      <w:r>
        <w:rPr>
          <w:rFonts w:hint="eastAsia" w:ascii="仿宋_GB2312" w:hAnsi="仿宋_GB2312" w:eastAsia="仿宋_GB2312" w:cs="仿宋_GB2312"/>
          <w:color w:val="auto"/>
          <w:sz w:val="32"/>
          <w:szCs w:val="32"/>
          <w:lang w:val="en-US" w:eastAsia="zh-CN"/>
        </w:rPr>
        <w:t>考核成绩</w:t>
      </w:r>
      <w:r>
        <w:rPr>
          <w:rFonts w:hint="eastAsia" w:ascii="仿宋_GB2312" w:hAnsi="仿宋_GB2312" w:eastAsia="仿宋_GB2312" w:cs="仿宋_GB2312"/>
          <w:color w:val="auto"/>
          <w:sz w:val="32"/>
          <w:szCs w:val="32"/>
          <w:lang w:eastAsia="zh-CN"/>
        </w:rPr>
        <w:t>不再达到学业预警条件，学业警示</w:t>
      </w:r>
      <w:r>
        <w:rPr>
          <w:rFonts w:hint="eastAsia" w:ascii="仿宋_GB2312" w:hAnsi="仿宋_GB2312" w:eastAsia="仿宋_GB2312" w:cs="仿宋_GB2312"/>
          <w:color w:val="auto"/>
          <w:sz w:val="32"/>
          <w:szCs w:val="32"/>
          <w:lang w:val="en-US" w:eastAsia="zh-CN"/>
        </w:rPr>
        <w:t>自动解除</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第七条 </w:t>
      </w:r>
      <w:r>
        <w:rPr>
          <w:rFonts w:hint="eastAsia" w:ascii="仿宋_GB2312" w:hAnsi="仿宋_GB2312" w:eastAsia="仿宋_GB2312" w:cs="仿宋_GB2312"/>
          <w:color w:val="auto"/>
          <w:sz w:val="32"/>
          <w:szCs w:val="32"/>
          <w:lang w:eastAsia="zh-CN"/>
        </w:rPr>
        <w:t>本办</w:t>
      </w:r>
      <w:r>
        <w:rPr>
          <w:rFonts w:hint="eastAsia" w:ascii="仿宋_GB2312" w:hAnsi="仿宋_GB2312" w:eastAsia="仿宋_GB2312" w:cs="仿宋_GB2312"/>
          <w:color w:val="FF0000"/>
          <w:sz w:val="32"/>
          <w:szCs w:val="32"/>
          <w:lang w:eastAsia="zh-CN"/>
        </w:rPr>
        <w:t>法自20</w:t>
      </w:r>
      <w:r>
        <w:rPr>
          <w:rFonts w:hint="eastAsia" w:ascii="仿宋_GB2312" w:hAnsi="仿宋_GB2312" w:eastAsia="仿宋_GB2312" w:cs="仿宋_GB2312"/>
          <w:color w:val="FF0000"/>
          <w:sz w:val="32"/>
          <w:szCs w:val="32"/>
          <w:lang w:val="en-US" w:eastAsia="zh-CN"/>
        </w:rPr>
        <w:t>23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月1日</w:t>
      </w:r>
      <w:r>
        <w:rPr>
          <w:rFonts w:hint="eastAsia" w:ascii="仿宋_GB2312" w:hAnsi="仿宋_GB2312" w:eastAsia="仿宋_GB2312" w:cs="仿宋_GB2312"/>
          <w:color w:val="auto"/>
          <w:sz w:val="32"/>
          <w:szCs w:val="32"/>
          <w:lang w:eastAsia="zh-CN"/>
        </w:rPr>
        <w:t>起实施，由教务处、学生处负责解释。</w:t>
      </w:r>
      <w:r>
        <w:rPr>
          <w:rFonts w:hint="eastAsia" w:ascii="仿宋_GB2312" w:hAnsi="仿宋_GB2312" w:eastAsia="仿宋_GB2312" w:cs="仿宋_GB2312"/>
          <w:color w:val="auto"/>
          <w:sz w:val="32"/>
          <w:szCs w:val="32"/>
          <w:lang w:val="en-US" w:eastAsia="zh-CN"/>
        </w:rPr>
        <w:t>原《辽宁师范大学本科生学业预警与援助工作实施办法》同时废止，其他有关文件与本文件不一致的，以本办法为准。</w:t>
      </w:r>
    </w:p>
    <w:p>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p>
    <w:p>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bookmarkStart w:id="0" w:name="_GoBack"/>
      <w:bookmarkEnd w:id="0"/>
    </w:p>
    <w:sectPr>
      <w:pgSz w:w="11910" w:h="16840"/>
      <w:pgMar w:top="1413" w:right="1800" w:bottom="1157" w:left="1800" w:header="720" w:footer="720" w:gutter="0"/>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70FD6"/>
    <w:multiLevelType w:val="singleLevel"/>
    <w:tmpl w:val="E8570FD6"/>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YjYyNjM1M2U1ZmU2NzM5YTAxMDY5M2QwMTcyOWIyODEifQ=="/>
  </w:docVars>
  <w:rsids>
    <w:rsidRoot w:val="008A15BF"/>
    <w:rsid w:val="0001550E"/>
    <w:rsid w:val="00034B35"/>
    <w:rsid w:val="00061F74"/>
    <w:rsid w:val="000B5077"/>
    <w:rsid w:val="000B76A2"/>
    <w:rsid w:val="00101B99"/>
    <w:rsid w:val="00184DAD"/>
    <w:rsid w:val="001A2D4A"/>
    <w:rsid w:val="00282724"/>
    <w:rsid w:val="00285085"/>
    <w:rsid w:val="00355A08"/>
    <w:rsid w:val="00394A38"/>
    <w:rsid w:val="004110C8"/>
    <w:rsid w:val="0045771F"/>
    <w:rsid w:val="00473A6F"/>
    <w:rsid w:val="00493C51"/>
    <w:rsid w:val="004D16B2"/>
    <w:rsid w:val="005D0430"/>
    <w:rsid w:val="005E0793"/>
    <w:rsid w:val="005F592B"/>
    <w:rsid w:val="00645BAE"/>
    <w:rsid w:val="0069405A"/>
    <w:rsid w:val="006F7131"/>
    <w:rsid w:val="0078605D"/>
    <w:rsid w:val="007E2745"/>
    <w:rsid w:val="00806976"/>
    <w:rsid w:val="008A15BF"/>
    <w:rsid w:val="008C0F02"/>
    <w:rsid w:val="008D49C2"/>
    <w:rsid w:val="00917536"/>
    <w:rsid w:val="009673A4"/>
    <w:rsid w:val="00977AC8"/>
    <w:rsid w:val="009D19AC"/>
    <w:rsid w:val="009D66D1"/>
    <w:rsid w:val="009F6C6C"/>
    <w:rsid w:val="00A827E9"/>
    <w:rsid w:val="00AB7641"/>
    <w:rsid w:val="00B21D00"/>
    <w:rsid w:val="00BC35D5"/>
    <w:rsid w:val="00C04739"/>
    <w:rsid w:val="00C64AEA"/>
    <w:rsid w:val="00C67A40"/>
    <w:rsid w:val="00CA06F6"/>
    <w:rsid w:val="00CD4345"/>
    <w:rsid w:val="00D5099A"/>
    <w:rsid w:val="00D6755D"/>
    <w:rsid w:val="00DD7F15"/>
    <w:rsid w:val="00DF7033"/>
    <w:rsid w:val="00E61AC0"/>
    <w:rsid w:val="00ED32AF"/>
    <w:rsid w:val="00EE16D4"/>
    <w:rsid w:val="00F073C4"/>
    <w:rsid w:val="00F3005E"/>
    <w:rsid w:val="00F62D93"/>
    <w:rsid w:val="00FB2BAF"/>
    <w:rsid w:val="02E62FD5"/>
    <w:rsid w:val="07610C8E"/>
    <w:rsid w:val="0A890CCC"/>
    <w:rsid w:val="0DBB56EF"/>
    <w:rsid w:val="0EB925BE"/>
    <w:rsid w:val="11BD4CCB"/>
    <w:rsid w:val="14095971"/>
    <w:rsid w:val="16A16957"/>
    <w:rsid w:val="16C02ED0"/>
    <w:rsid w:val="1CE96EB8"/>
    <w:rsid w:val="1F1A2065"/>
    <w:rsid w:val="20535851"/>
    <w:rsid w:val="20E52249"/>
    <w:rsid w:val="243C4E68"/>
    <w:rsid w:val="254457C2"/>
    <w:rsid w:val="256F36A6"/>
    <w:rsid w:val="281943AE"/>
    <w:rsid w:val="2B9D6077"/>
    <w:rsid w:val="2BD416FA"/>
    <w:rsid w:val="2CA53FD0"/>
    <w:rsid w:val="302E50CF"/>
    <w:rsid w:val="30CE428A"/>
    <w:rsid w:val="34866834"/>
    <w:rsid w:val="35BA0180"/>
    <w:rsid w:val="372E7EAC"/>
    <w:rsid w:val="383B2EA0"/>
    <w:rsid w:val="38F22736"/>
    <w:rsid w:val="398F79EE"/>
    <w:rsid w:val="3A72234D"/>
    <w:rsid w:val="3D9E5C3F"/>
    <w:rsid w:val="3DBD51BF"/>
    <w:rsid w:val="3EB63031"/>
    <w:rsid w:val="3FD54331"/>
    <w:rsid w:val="417C1A12"/>
    <w:rsid w:val="41B9384A"/>
    <w:rsid w:val="48D95248"/>
    <w:rsid w:val="4B4C2174"/>
    <w:rsid w:val="4BAD0767"/>
    <w:rsid w:val="4DB55EBE"/>
    <w:rsid w:val="4DB90255"/>
    <w:rsid w:val="511F008E"/>
    <w:rsid w:val="5352269C"/>
    <w:rsid w:val="53754DA5"/>
    <w:rsid w:val="55B372E6"/>
    <w:rsid w:val="56C22448"/>
    <w:rsid w:val="5B466280"/>
    <w:rsid w:val="5D4018E9"/>
    <w:rsid w:val="60C625D4"/>
    <w:rsid w:val="628D38AF"/>
    <w:rsid w:val="634079DD"/>
    <w:rsid w:val="6D530DD8"/>
    <w:rsid w:val="6EAB698E"/>
    <w:rsid w:val="715C7408"/>
    <w:rsid w:val="72315133"/>
    <w:rsid w:val="73D94764"/>
    <w:rsid w:val="73E93434"/>
    <w:rsid w:val="77763B7E"/>
    <w:rsid w:val="777C6EC6"/>
    <w:rsid w:val="795C18AE"/>
    <w:rsid w:val="79876FEC"/>
    <w:rsid w:val="7B9C5F15"/>
    <w:rsid w:val="7C526287"/>
    <w:rsid w:val="7D0A0B60"/>
    <w:rsid w:val="7EC0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utoSpaceDE/>
      <w:autoSpaceDN/>
      <w:spacing w:before="100" w:beforeAutospacing="1" w:after="100" w:afterAutospacing="1"/>
    </w:pPr>
    <w:rPr>
      <w:sz w:val="24"/>
      <w:szCs w:val="24"/>
      <w:lang w:eastAsia="zh-CN"/>
    </w:r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列出段落1"/>
    <w:basedOn w:val="1"/>
    <w:qFormat/>
    <w:uiPriority w:val="1"/>
  </w:style>
  <w:style w:type="paragraph" w:customStyle="1" w:styleId="10">
    <w:name w:val="Table Paragraph"/>
    <w:basedOn w:val="1"/>
    <w:qFormat/>
    <w:uiPriority w:val="1"/>
  </w:style>
  <w:style w:type="character" w:customStyle="1" w:styleId="11">
    <w:name w:val="页眉 Char"/>
    <w:basedOn w:val="7"/>
    <w:link w:val="4"/>
    <w:qFormat/>
    <w:uiPriority w:val="99"/>
    <w:rPr>
      <w:rFonts w:ascii="宋体" w:hAnsi="宋体" w:eastAsia="宋体" w:cs="宋体"/>
      <w:sz w:val="18"/>
      <w:szCs w:val="18"/>
    </w:rPr>
  </w:style>
  <w:style w:type="character" w:customStyle="1" w:styleId="12">
    <w:name w:val="页脚 Char"/>
    <w:basedOn w:val="7"/>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188</Words>
  <Characters>1077</Characters>
  <Lines>8</Lines>
  <Paragraphs>2</Paragraphs>
  <TotalTime>0</TotalTime>
  <ScaleCrop>false</ScaleCrop>
  <LinksUpToDate>false</LinksUpToDate>
  <CharactersWithSpaces>1263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2017-06-19T08:54:00Z</dcterms:created>
  <dc:creator>OA系统超级管理员</dc:creator>
  <cp:lastModifiedBy>王志杰</cp:lastModifiedBy>
  <cp:lastPrinted>2019-07-23T06:43:00Z</cp:lastPrinted>
  <dcterms:modified xsi:type="dcterms:W3CDTF">2023-10-23T01:14:34Z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Microsoft® Word 2016</vt:lpwstr>
  </property>
  <property fmtid="{D5CDD505-2E9C-101B-9397-08002B2CF9AE}" pid="4" name="LastSaved">
    <vt:filetime>2017-06-19T00:00:00Z</vt:filetime>
  </property>
  <property fmtid="{D5CDD505-2E9C-101B-9397-08002B2CF9AE}" pid="5" name="KSOProductBuildVer">
    <vt:lpwstr>2052-12.1.0.15712</vt:lpwstr>
  </property>
  <property fmtid="{D5CDD505-2E9C-101B-9397-08002B2CF9AE}" pid="6" name="ICV">
    <vt:lpwstr>63DE1356F55642288333ECB34DAAC97B_12</vt:lpwstr>
  </property>
</Properties>
</file>