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国家自然科学基金委员会关于国家自然科学基金资助项目资金管理的补充通知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国科金发财〔2018〕88号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为了贯彻落实《国</w:t>
      </w:r>
      <w:bookmarkStart w:id="0" w:name="_GoBack"/>
      <w:bookmarkEnd w:id="0"/>
      <w:r>
        <w:rPr>
          <w:rFonts w:hint="eastAsia" w:ascii="微软雅黑" w:hAnsi="微软雅黑" w:eastAsia="微软雅黑" w:cs="微软雅黑"/>
          <w:i w:val="0"/>
          <w:caps w:val="0"/>
          <w:color w:val="000000"/>
          <w:spacing w:val="0"/>
          <w:sz w:val="18"/>
          <w:szCs w:val="18"/>
          <w:bdr w:val="none" w:color="auto" w:sz="0" w:space="0"/>
          <w:shd w:val="clear" w:fill="FFFFFF"/>
        </w:rPr>
        <w:t>务院关于优化科研管理提升科研绩效若干措施的通知》精神，根据国家自然科学基金委员会2018年第10次委务会议决定，现就《国家自然科学基金资助项目资金管理办法》（财教〔2015〕15号）有关问题补充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一、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二、简化报表及流程，取消依托单位项目资金年度收支报告编制报送。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四、对于2015年（不含）以前批准资助的在研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五、项目通过结题验收并且依托单位信用评价好的，项目结余资金由依托单位统筹安排，专门用于基础研究的直接支出。若2年后（自验收结论下达后次年的1月1日起计算）结余资金仍有剩余的，应当按原渠道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2018年9月26日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9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yue</dc:creator>
  <cp:lastModifiedBy>yue</cp:lastModifiedBy>
  <dcterms:modified xsi:type="dcterms:W3CDTF">2020-05-20T07:12:31Z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